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4A" w:rsidRPr="009378DF" w:rsidRDefault="00B3794A" w:rsidP="00B3794A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7</w:t>
      </w:r>
    </w:p>
    <w:p w:rsidR="00B379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18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B3794A" w:rsidRPr="00EE77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B3794A" w:rsidRPr="00EE774A" w:rsidRDefault="00B3794A" w:rsidP="00B3794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A1700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7265AF">
        <w:rPr>
          <w:rFonts w:ascii="宋体" w:hAnsi="宋体" w:hint="eastAsia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月</w:t>
      </w:r>
      <w:r w:rsidR="007265AF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B3794A" w:rsidRPr="000A55B8" w:rsidRDefault="00667645" w:rsidP="006F20D6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7265AF" w:rsidRPr="007265AF">
        <w:rPr>
          <w:rFonts w:ascii="宋体" w:hAnsi="宋体" w:hint="eastAsia"/>
          <w:color w:val="000000"/>
          <w:sz w:val="28"/>
          <w:szCs w:val="28"/>
        </w:rPr>
        <w:t>1,709,713,000.00</w:t>
      </w:r>
      <w:r w:rsidR="000A7F12">
        <w:rPr>
          <w:rFonts w:ascii="宋体" w:hAnsi="宋体" w:hint="eastAsia"/>
          <w:color w:val="000000"/>
          <w:sz w:val="28"/>
          <w:szCs w:val="28"/>
        </w:rPr>
        <w:t>元。</w:t>
      </w:r>
    </w:p>
    <w:p w:rsidR="00B3794A" w:rsidRPr="00EE774A" w:rsidRDefault="00B3794A" w:rsidP="00B3794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F20D6" w:rsidRPr="009C7E87" w:rsidRDefault="006F20D6" w:rsidP="006F20D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7265AF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7265AF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7265AF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6F20D6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6F20D6" w:rsidRPr="0076443A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6F20D6" w:rsidRPr="00C57F1F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6F20D6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6F20D6" w:rsidRPr="00C57F1F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18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6F20D6" w:rsidRPr="0076443A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708A2">
              <w:rPr>
                <w:rFonts w:ascii="宋体" w:hAnsi="宋体" w:hint="eastAsia"/>
                <w:color w:val="000000"/>
                <w:sz w:val="24"/>
                <w:szCs w:val="28"/>
              </w:rPr>
              <w:t>4.60%</w:t>
            </w:r>
          </w:p>
        </w:tc>
      </w:tr>
    </w:tbl>
    <w:p w:rsidR="006F20D6" w:rsidRPr="00AA7A73" w:rsidRDefault="006F20D6" w:rsidP="006F20D6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B3794A" w:rsidRPr="00EE774A" w:rsidRDefault="007265AF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E9336F7" wp14:editId="48FAF5D4">
            <wp:extent cx="3429000" cy="1704975"/>
            <wp:effectExtent l="38100" t="0" r="1905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B3794A" w:rsidRPr="00EE774A" w:rsidRDefault="007265AF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BE3FDF" wp14:editId="1FE20652">
            <wp:extent cx="3705225" cy="2009775"/>
            <wp:effectExtent l="0" t="0" r="9525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B3794A" w:rsidRPr="005622F6" w:rsidRDefault="007265AF" w:rsidP="00B3794A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02EBCDF" wp14:editId="52023EC6">
            <wp:extent cx="5274310" cy="1820980"/>
            <wp:effectExtent l="0" t="0" r="21590" b="2730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3794A" w:rsidRPr="00EE774A" w:rsidRDefault="00B3794A" w:rsidP="00B3794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4E4685" w:rsidRDefault="00B3794A" w:rsidP="00B3794A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79F7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7265AF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7265AF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4E4685" w:rsidRDefault="004E4685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4E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63" w:rsidRDefault="00147C63" w:rsidP="00B3794A">
      <w:r>
        <w:separator/>
      </w:r>
    </w:p>
  </w:endnote>
  <w:endnote w:type="continuationSeparator" w:id="0">
    <w:p w:rsidR="00147C63" w:rsidRDefault="00147C63" w:rsidP="00B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63" w:rsidRDefault="00147C63" w:rsidP="00B3794A">
      <w:r>
        <w:separator/>
      </w:r>
    </w:p>
  </w:footnote>
  <w:footnote w:type="continuationSeparator" w:id="0">
    <w:p w:rsidR="00147C63" w:rsidRDefault="00147C63" w:rsidP="00B3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C9"/>
    <w:rsid w:val="00035643"/>
    <w:rsid w:val="000A72DD"/>
    <w:rsid w:val="000A7F12"/>
    <w:rsid w:val="000F0F2A"/>
    <w:rsid w:val="001037C8"/>
    <w:rsid w:val="00135425"/>
    <w:rsid w:val="00147C63"/>
    <w:rsid w:val="00153C80"/>
    <w:rsid w:val="001D0940"/>
    <w:rsid w:val="001D3E87"/>
    <w:rsid w:val="002041E9"/>
    <w:rsid w:val="00221DF8"/>
    <w:rsid w:val="00226A2F"/>
    <w:rsid w:val="00236506"/>
    <w:rsid w:val="002612F5"/>
    <w:rsid w:val="0029338E"/>
    <w:rsid w:val="00297125"/>
    <w:rsid w:val="002D1EA2"/>
    <w:rsid w:val="003A4A35"/>
    <w:rsid w:val="003A6B43"/>
    <w:rsid w:val="003B3EC9"/>
    <w:rsid w:val="00452BD7"/>
    <w:rsid w:val="004B1F20"/>
    <w:rsid w:val="004E4685"/>
    <w:rsid w:val="004F3FDF"/>
    <w:rsid w:val="004F4594"/>
    <w:rsid w:val="00507509"/>
    <w:rsid w:val="00510BCF"/>
    <w:rsid w:val="005455E2"/>
    <w:rsid w:val="00547F2E"/>
    <w:rsid w:val="00555E15"/>
    <w:rsid w:val="0059548D"/>
    <w:rsid w:val="005E7297"/>
    <w:rsid w:val="00644903"/>
    <w:rsid w:val="006551A3"/>
    <w:rsid w:val="00664B97"/>
    <w:rsid w:val="00667645"/>
    <w:rsid w:val="0067036F"/>
    <w:rsid w:val="0068395D"/>
    <w:rsid w:val="006A71B5"/>
    <w:rsid w:val="006B768C"/>
    <w:rsid w:val="006D3A34"/>
    <w:rsid w:val="006F20D6"/>
    <w:rsid w:val="007265AF"/>
    <w:rsid w:val="007E684E"/>
    <w:rsid w:val="007F6584"/>
    <w:rsid w:val="008479F7"/>
    <w:rsid w:val="008A3C14"/>
    <w:rsid w:val="008A653C"/>
    <w:rsid w:val="008F7B28"/>
    <w:rsid w:val="00960371"/>
    <w:rsid w:val="00975815"/>
    <w:rsid w:val="009A6AFC"/>
    <w:rsid w:val="00A0421D"/>
    <w:rsid w:val="00A04F51"/>
    <w:rsid w:val="00A06665"/>
    <w:rsid w:val="00A17003"/>
    <w:rsid w:val="00A250D8"/>
    <w:rsid w:val="00A669F5"/>
    <w:rsid w:val="00A66F45"/>
    <w:rsid w:val="00AF065A"/>
    <w:rsid w:val="00AF6383"/>
    <w:rsid w:val="00B06261"/>
    <w:rsid w:val="00B3794A"/>
    <w:rsid w:val="00BD69AF"/>
    <w:rsid w:val="00C37D87"/>
    <w:rsid w:val="00C421B3"/>
    <w:rsid w:val="00C44414"/>
    <w:rsid w:val="00C57436"/>
    <w:rsid w:val="00DA3AC0"/>
    <w:rsid w:val="00DD28C6"/>
    <w:rsid w:val="00DD3291"/>
    <w:rsid w:val="00DF0291"/>
    <w:rsid w:val="00DF203A"/>
    <w:rsid w:val="00E5724C"/>
    <w:rsid w:val="00E8154C"/>
    <w:rsid w:val="00ED4683"/>
    <w:rsid w:val="00F16BE8"/>
    <w:rsid w:val="00F601FE"/>
    <w:rsid w:val="00F708A2"/>
    <w:rsid w:val="00FC0044"/>
    <w:rsid w:val="00FE08CC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604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5668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387626177231453E-2"/>
          <c:y val="4.9315480902241582E-2"/>
          <c:w val="0.64143870576399575"/>
          <c:h val="0.842039724168001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'2018年7月'!$A$237:$A$238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'2018年7月'!$B$237:$B$238</c:f>
              <c:numCache>
                <c:formatCode>0.00%</c:formatCode>
                <c:ptCount val="2"/>
                <c:pt idx="0">
                  <c:v>4.3264145287296961E-2</c:v>
                </c:pt>
                <c:pt idx="1">
                  <c:v>0.95673585471172018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'2018年7月'!$A$246:$A$250</c:f>
              <c:strCache>
                <c:ptCount val="5"/>
                <c:pt idx="0">
                  <c:v>A</c:v>
                </c:pt>
                <c:pt idx="1">
                  <c:v>AA</c:v>
                </c:pt>
                <c:pt idx="2">
                  <c:v>AA-</c:v>
                </c:pt>
                <c:pt idx="3">
                  <c:v>AA+</c:v>
                </c:pt>
                <c:pt idx="4">
                  <c:v>AAA</c:v>
                </c:pt>
              </c:strCache>
            </c:strRef>
          </c:cat>
          <c:val>
            <c:numRef>
              <c:f>'2018年7月'!$B$246:$B$250</c:f>
              <c:numCache>
                <c:formatCode>0.00%</c:formatCode>
                <c:ptCount val="5"/>
                <c:pt idx="0">
                  <c:v>1.0872286571729457E-2</c:v>
                </c:pt>
                <c:pt idx="1">
                  <c:v>0.26256572070726641</c:v>
                </c:pt>
                <c:pt idx="2">
                  <c:v>0.30804811953233463</c:v>
                </c:pt>
                <c:pt idx="3">
                  <c:v>0.12080318413032731</c:v>
                </c:pt>
                <c:pt idx="4">
                  <c:v>0.29771068905834219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2093175853018373E-2"/>
          <c:y val="1.2031655842006743E-2"/>
          <c:w val="0.93884936257967755"/>
          <c:h val="0.832942863449866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'2018年7月'!$B$253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'2018年7月'!$A$254:$A$258</c:f>
              <c:strCache>
                <c:ptCount val="5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综合</c:v>
                </c:pt>
                <c:pt idx="4">
                  <c:v>租赁和商务服务业</c:v>
                </c:pt>
              </c:strCache>
            </c:strRef>
          </c:cat>
          <c:val>
            <c:numRef>
              <c:f>'2018年7月'!$B$254:$B$258</c:f>
              <c:numCache>
                <c:formatCode>0.00%</c:formatCode>
                <c:ptCount val="5"/>
                <c:pt idx="0">
                  <c:v>0.20415738118025314</c:v>
                </c:pt>
                <c:pt idx="1">
                  <c:v>4.2281114445614561E-2</c:v>
                </c:pt>
                <c:pt idx="2">
                  <c:v>0.24160636826065462</c:v>
                </c:pt>
                <c:pt idx="3">
                  <c:v>3.0200796032581828E-2</c:v>
                </c:pt>
                <c:pt idx="4">
                  <c:v>0.48175434008089585</c:v>
                </c:pt>
              </c:numCache>
            </c:numRef>
          </c:val>
        </c:ser>
        <c:ser>
          <c:idx val="1"/>
          <c:order val="1"/>
          <c:tx>
            <c:strRef>
              <c:f>'2018年7月'!$C$253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'2018年7月'!$A$254:$A$258</c:f>
              <c:strCache>
                <c:ptCount val="5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综合</c:v>
                </c:pt>
                <c:pt idx="4">
                  <c:v>租赁和商务服务业</c:v>
                </c:pt>
              </c:strCache>
            </c:strRef>
          </c:cat>
          <c:val>
            <c:numRef>
              <c:f>'2018年7月'!$C$254:$C$258</c:f>
              <c:numCache>
                <c:formatCode>0.00%</c:formatCode>
                <c:ptCount val="5"/>
                <c:pt idx="0">
                  <c:v>0.20415738118025314</c:v>
                </c:pt>
                <c:pt idx="1">
                  <c:v>4.2281114445614561E-2</c:v>
                </c:pt>
                <c:pt idx="2">
                  <c:v>0.24160636826065462</c:v>
                </c:pt>
                <c:pt idx="3">
                  <c:v>3.0200796032581828E-2</c:v>
                </c:pt>
                <c:pt idx="4">
                  <c:v>0.48175434008089585</c:v>
                </c:pt>
              </c:numCache>
            </c:numRef>
          </c:val>
        </c:ser>
        <c:ser>
          <c:idx val="2"/>
          <c:order val="2"/>
          <c:tx>
            <c:strRef>
              <c:f>'2018年7月'!$D$253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'2018年7月'!$A$254:$A$258</c:f>
              <c:strCache>
                <c:ptCount val="5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综合</c:v>
                </c:pt>
                <c:pt idx="4">
                  <c:v>租赁和商务服务业</c:v>
                </c:pt>
              </c:strCache>
            </c:strRef>
          </c:cat>
          <c:val>
            <c:numRef>
              <c:f>'2018年7月'!$D$254:$D$258</c:f>
              <c:numCache>
                <c:formatCode>0.00%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552640"/>
        <c:axId val="115554176"/>
      </c:barChart>
      <c:catAx>
        <c:axId val="115552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15554176"/>
        <c:crosses val="autoZero"/>
        <c:auto val="1"/>
        <c:lblAlgn val="ctr"/>
        <c:lblOffset val="100"/>
        <c:noMultiLvlLbl val="0"/>
      </c:catAx>
      <c:valAx>
        <c:axId val="115554176"/>
        <c:scaling>
          <c:orientation val="minMax"/>
          <c:max val="0.5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5552640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82186820397450322"/>
          <c:y val="0.40566929133858265"/>
          <c:w val="0.16903152730908633"/>
          <c:h val="0.251379543466157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2018-08-03T14:19:00Z</dcterms:created>
  <dcterms:modified xsi:type="dcterms:W3CDTF">2018-08-03T14:19:00Z</dcterms:modified>
</cp:coreProperties>
</file>